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40"/>
      </w:pPr>
    </w:p>
    <w:p>
      <w:pPr>
        <w:spacing w:after="40"/>
      </w:pPr>
      <w:r>
        <w:rPr>
          <w:rFonts w:ascii="DM Serif Display" w:hAnsi="DM Serif Display" w:cs="DM Serif Display" w:eastAsia="DM Serif Display"/>
          <w:color w:val="80BFB7"/>
          <w:sz w:val="40"/>
        </w:rPr>
        <w:t xml:space="preserve">Job Title:  </w:t>
      </w:r>
      <w:r>
        <w:rPr>
          <w:rFonts w:ascii="DM Serif Display" w:hAnsi="DM Serif Display" w:cs="DM Serif Display" w:eastAsia="DM Serif Display"/>
          <w:color w:val="003B55"/>
          <w:sz w:val="40"/>
        </w:rPr>
        <w:t>Chief Operating Officer (COO)</w:t>
      </w:r>
    </w:p>
    <w:p>
      <w:pPr>
        <w:spacing w:before="0" w:after="120"/>
      </w:pPr>
      <w:r>
        <w:rPr>
          <w:rFonts w:ascii="Segoe UI" w:hAnsi="Segoe UI" w:cs="Segoe UI" w:eastAsia="Segoe UI"/>
          <w:b/>
          <w:color w:val="0B87A1"/>
          <w:sz w:val="22"/>
        </w:rPr>
        <w:t>Co-Founder  —  Operations, Systems &amp; Commercial Delivery</w:t>
      </w:r>
    </w:p>
    <w:p>
      <w:pPr>
        <w:spacing w:after="160"/>
      </w:pPr>
      <w:r>
        <w:rPr>
          <w:rFonts w:ascii="DM Serif Display" w:hAnsi="DM Serif Display" w:cs="DM Serif Display" w:eastAsia="DM Serif Display"/>
          <w:color w:val="0B87A1"/>
          <w:sz w:val="40"/>
        </w:rPr>
        <w:t>Job Summary</w:t>
      </w:r>
    </w:p>
    <w:p>
      <w:pPr>
        <w:spacing w:after="120"/>
      </w:pPr>
      <w:r>
        <w:rPr>
          <w:sz w:val="24"/>
        </w:rPr>
        <w:t>We are seeking a hands-on Chief Operating Officer to own how ClearData AI actually runs. Working side by side with the CEO, you will build and continuously refine the company’s operating system—the processes, systems, data, and cadence that turn a fast-moving startup into a company that executes predictably. This is an elevation of our operations function from process ownership to full executive accountability: you own not just how work gets done, but the business systems it runs on, the data inside them, and the standards everyone is held to.</w:t>
      </w:r>
    </w:p>
    <w:p>
      <w:pPr>
        <w:spacing w:after="120"/>
      </w:pPr>
      <w:r>
        <w:rPr>
          <w:sz w:val="24"/>
        </w:rPr>
        <w:t>As the senior-most operating leader, you are accountable for the company’s internal machinery: the operating cadence, the systems of record—including the CRM—the handoffs between functions, onboarding and access, documentation, vendor and software spend, and the quality bar across all of it. You are execution-obsessed, resourceful, and tech-savvy enough to understand the nuances of our stack—or to know exactly which expert to delegate to. Above all, you make sure the foundations are always covered while you keep optimizing everything above them.</w:t>
      </w:r>
    </w:p>
    <w:p>
      <w:pPr>
        <w:spacing w:before="240" w:after="80"/>
      </w:pPr>
      <w:r>
        <w:rPr>
          <w:rFonts w:ascii="DM Serif Display" w:hAnsi="DM Serif Display" w:cs="DM Serif Display" w:eastAsia="DM Serif Display"/>
          <w:color w:val="0B87A1"/>
          <w:sz w:val="40"/>
        </w:rPr>
        <w:t>Key Responsibilities</w:t>
      </w:r>
    </w:p>
    <w:p>
      <w:pPr>
        <w:spacing w:before="160" w:after="60"/>
      </w:pPr>
      <w:r>
        <w:rPr>
          <w:rFonts w:ascii="DM Serif Display" w:hAnsi="DM Serif Display" w:cs="DM Serif Display" w:eastAsia="DM Serif Display"/>
          <w:color w:val="80BFB7"/>
          <w:sz w:val="28"/>
        </w:rPr>
        <w:t>Company Operating System</w:t>
      </w:r>
    </w:p>
    <w:p>
      <w:pPr>
        <w:spacing w:before="40" w:after="120"/>
      </w:pPr>
      <w:r>
        <w:rPr>
          <w:b/>
          <w:sz w:val="24"/>
        </w:rPr>
        <w:t>Operating Model Ownership:</w:t>
      </w:r>
      <w:r>
        <w:rPr>
          <w:sz w:val="24"/>
        </w:rPr>
        <w:br/>
        <w:t>Own the company’s end-to-end operating system—the processes, cadence, and standards the whole team works inside—and treat it as a product that is continuously measured and improved.</w:t>
      </w:r>
    </w:p>
    <w:p>
      <w:pPr>
        <w:spacing w:before="40" w:after="120"/>
      </w:pPr>
      <w:r>
        <w:rPr>
          <w:b/>
          <w:sz w:val="24"/>
        </w:rPr>
        <w:t>Foundational Process Creation:</w:t>
      </w:r>
      <w:r>
        <w:rPr>
          <w:sz w:val="24"/>
        </w:rPr>
        <w:br/>
        <w:t>Build core processes from the ground up, ensuring minimum viable coverage of foundational workflows is always in place before optimizing for refinement.</w:t>
      </w:r>
    </w:p>
    <w:p>
      <w:pPr>
        <w:spacing w:before="40" w:after="120"/>
      </w:pPr>
      <w:r>
        <w:rPr>
          <w:b/>
          <w:sz w:val="24"/>
        </w:rPr>
        <w:t>Process Rework &amp; Consolidation:</w:t>
      </w:r>
      <w:r>
        <w:rPr>
          <w:sz w:val="24"/>
        </w:rPr>
        <w:br/>
        <w:t>Audit, re-engineer, and consolidate ad-hoc workflows into one coherent, documented system—closing gaps, removing redundancy, and making sure every workflow earns its place.</w:t>
      </w:r>
    </w:p>
    <w:p>
      <w:pPr>
        <w:spacing w:before="40" w:after="120"/>
      </w:pPr>
      <w:r>
        <w:rPr>
          <w:b/>
          <w:sz w:val="24"/>
        </w:rPr>
        <w:t>Executive Cadence:</w:t>
      </w:r>
      <w:r>
        <w:rPr>
          <w:sz w:val="24"/>
        </w:rPr>
        <w:br/>
        <w:t>Run the operating rhythm—planning, goal setting, business reviews, and follow-through—so decisions are made, recorded, and executed rather than revisited.</w:t>
      </w:r>
    </w:p>
    <w:p>
      <w:pPr>
        <w:spacing w:before="160" w:after="60"/>
      </w:pPr>
      <w:r>
        <w:rPr>
          <w:rFonts w:ascii="DM Serif Display" w:hAnsi="DM Serif Display" w:cs="DM Serif Display" w:eastAsia="DM Serif Display"/>
          <w:color w:val="80BFB7"/>
          <w:sz w:val="28"/>
        </w:rPr>
        <w:t>Business Systems, CRM &amp; Data Integrity</w:t>
      </w:r>
    </w:p>
    <w:p>
      <w:pPr>
        <w:spacing w:before="40" w:after="120"/>
      </w:pPr>
      <w:r>
        <w:rPr>
          <w:b/>
          <w:sz w:val="24"/>
        </w:rPr>
        <w:t>Systems Ownership:</w:t>
      </w:r>
      <w:r>
        <w:rPr>
          <w:sz w:val="24"/>
        </w:rPr>
        <w:br/>
        <w:t>Own the company’s business systems end to end—selection, implementation, administration, integration, and retirement—so the team runs on one deliberate stack rather than accumulated tools.</w:t>
      </w:r>
    </w:p>
    <w:p>
      <w:pPr>
        <w:spacing w:before="40" w:after="120"/>
      </w:pPr>
      <w:r>
        <w:rPr>
          <w:b/>
          <w:sz w:val="24"/>
        </w:rPr>
        <w:t>CRM Accountability:</w:t>
      </w:r>
      <w:r>
        <w:rPr>
          <w:sz w:val="24"/>
        </w:rPr>
        <w:br/>
        <w:t>Hold executive accountability for the CRM as the company’s system of record for pipeline and client relationships—its architecture, configuration, fields, stages, automations, and reporting.</w:t>
      </w:r>
    </w:p>
    <w:p>
      <w:pPr>
        <w:spacing w:before="40" w:after="120"/>
      </w:pPr>
      <w:r>
        <w:rPr>
          <w:b/>
          <w:sz w:val="24"/>
        </w:rPr>
        <w:t>Data Integrity Standards:</w:t>
      </w:r>
      <w:r>
        <w:rPr>
          <w:sz w:val="24"/>
        </w:rPr>
        <w:br/>
        <w:t>Define and enforce the data standards the CRM and every other system are held to; the CRO is responsible for keeping revenue data accurate and current, and you are accountable that the standard exists, is measurable, and is met.</w:t>
      </w:r>
    </w:p>
    <w:p>
      <w:pPr>
        <w:spacing w:before="40" w:after="120"/>
      </w:pPr>
      <w:r>
        <w:rPr>
          <w:b/>
          <w:sz w:val="24"/>
        </w:rPr>
        <w:t>Reporting &amp; Single Source of Truth:</w:t>
      </w:r>
      <w:r>
        <w:rPr>
          <w:sz w:val="24"/>
        </w:rPr>
        <w:br/>
        <w:t>Own metric definitions, dashboards, and reporting so leadership reads one set of numbers—and so the forecast, the pipeline, and the financials reconcile.</w:t>
      </w:r>
    </w:p>
    <w:p>
      <w:pPr>
        <w:spacing w:before="160" w:after="60"/>
      </w:pPr>
      <w:r>
        <w:rPr>
          <w:rFonts w:ascii="DM Serif Display" w:hAnsi="DM Serif Display" w:cs="DM Serif Display" w:eastAsia="DM Serif Display"/>
          <w:color w:val="80BFB7"/>
          <w:sz w:val="28"/>
        </w:rPr>
        <w:t>Execution, Delivery Cadence &amp; Handoffs</w:t>
      </w:r>
    </w:p>
    <w:p>
      <w:pPr>
        <w:spacing w:before="40" w:after="120"/>
      </w:pPr>
      <w:r>
        <w:rPr>
          <w:b/>
          <w:sz w:val="24"/>
        </w:rPr>
        <w:t>Project &amp; Task Management:</w:t>
      </w:r>
      <w:r>
        <w:rPr>
          <w:sz w:val="24"/>
        </w:rPr>
        <w:br/>
        <w:t>Plan, track, and drive work across teams with clear visibility into status, ownership, priorities, and deadlines—serving as master administrator of the project-management system.</w:t>
      </w:r>
    </w:p>
    <w:p>
      <w:pPr>
        <w:spacing w:before="40" w:after="120"/>
      </w:pPr>
      <w:r>
        <w:rPr>
          <w:b/>
          <w:sz w:val="24"/>
        </w:rPr>
        <w:t>Cross-Functional Handoffs:</w:t>
      </w:r>
      <w:r>
        <w:rPr>
          <w:sz w:val="24"/>
        </w:rPr>
        <w:br/>
        <w:t>Own the design and health of the handoffs between functions—most critically the handoff from sales into solution scoping and delivery—so nothing is dropped, duplicated, or renegotiated downstream.</w:t>
      </w:r>
    </w:p>
    <w:p>
      <w:pPr>
        <w:spacing w:before="40" w:after="120"/>
      </w:pPr>
      <w:r>
        <w:rPr>
          <w:b/>
          <w:sz w:val="24"/>
        </w:rPr>
        <w:t>Blocker Removal:</w:t>
      </w:r>
      <w:r>
        <w:rPr>
          <w:sz w:val="24"/>
        </w:rPr>
        <w:br/>
        <w:t>Proactively identify and clear blockers, escalating where needed and following through so work keeps moving and people stay unblocked.</w:t>
      </w:r>
    </w:p>
    <w:p>
      <w:pPr>
        <w:spacing w:before="160" w:after="60"/>
      </w:pPr>
      <w:r>
        <w:rPr>
          <w:rFonts w:ascii="DM Serif Display" w:hAnsi="DM Serif Display" w:cs="DM Serif Display" w:eastAsia="DM Serif Display"/>
          <w:color w:val="80BFB7"/>
          <w:sz w:val="28"/>
        </w:rPr>
        <w:t>People, Onboarding &amp; Standards</w:t>
      </w:r>
    </w:p>
    <w:p>
      <w:pPr>
        <w:spacing w:before="40" w:after="120"/>
      </w:pPr>
      <w:r>
        <w:rPr>
          <w:b/>
          <w:sz w:val="24"/>
        </w:rPr>
        <w:t>Employee Onboarding:</w:t>
      </w:r>
      <w:r>
        <w:rPr>
          <w:sz w:val="24"/>
        </w:rPr>
        <w:br/>
        <w:t>Own the end-to-end onboarding experience—from offer to fully productive—with repeatable checklists, documentation, and a playbook that scales as the company grows.</w:t>
      </w:r>
    </w:p>
    <w:p>
      <w:pPr>
        <w:spacing w:before="40" w:after="120"/>
      </w:pPr>
      <w:r>
        <w:rPr>
          <w:b/>
          <w:sz w:val="24"/>
        </w:rPr>
        <w:t>Access &amp; Provisioning:</w:t>
      </w:r>
      <w:r>
        <w:rPr>
          <w:sz w:val="24"/>
        </w:rPr>
        <w:br/>
        <w:t>Manage provisioning and access across core systems so the right people have the right access at the right time, with access removed cleanly on offboarding.</w:t>
      </w:r>
    </w:p>
    <w:p>
      <w:pPr>
        <w:spacing w:before="40" w:after="120"/>
      </w:pPr>
      <w:r>
        <w:rPr>
          <w:b/>
          <w:sz w:val="24"/>
        </w:rPr>
        <w:t>Quality &amp; Documentation:</w:t>
      </w:r>
      <w:r>
        <w:rPr>
          <w:sz w:val="24"/>
        </w:rPr>
        <w:br/>
        <w:t>Define, document, and enforce quality standards, and maintain living documentation so the operating model is transferable and auditable—never locked inside one person’s head.</w:t>
      </w:r>
    </w:p>
    <w:p>
      <w:pPr>
        <w:spacing w:before="160" w:after="60"/>
      </w:pPr>
      <w:r>
        <w:rPr>
          <w:rFonts w:ascii="DM Serif Display" w:hAnsi="DM Serif Display" w:cs="DM Serif Display" w:eastAsia="DM Serif Display"/>
          <w:color w:val="80BFB7"/>
          <w:sz w:val="28"/>
        </w:rPr>
        <w:t>Client-Facing Commercial Partnership</w:t>
      </w:r>
    </w:p>
    <w:p>
      <w:pPr>
        <w:spacing w:before="40" w:after="120"/>
      </w:pPr>
      <w:r>
        <w:rPr>
          <w:b/>
          <w:sz w:val="24"/>
        </w:rPr>
        <w:t>Sales Call Partnership:</w:t>
      </w:r>
      <w:r>
        <w:rPr>
          <w:sz w:val="24"/>
        </w:rPr>
        <w:br/>
        <w:t>With the CRO, one of the two primary voices on client sales calls. The CRO leads the commercial conversation; you are the operational counterpart who makes delivery credible — how the work actually gets done, by whom, and on what timeline.</w:t>
      </w:r>
    </w:p>
    <w:p>
      <w:pPr>
        <w:spacing w:before="40" w:after="120"/>
      </w:pPr>
      <w:r>
        <w:rPr>
          <w:b/>
          <w:sz w:val="24"/>
        </w:rPr>
        <w:t>Operational Credibility:</w:t>
      </w:r>
      <w:r>
        <w:rPr>
          <w:sz w:val="24"/>
        </w:rPr>
        <w:br/>
        <w:t>Answer the questions that decide enterprise deals but sit outside the pitch: how we onboard, how we support, how we handle security review, and what happens after signature.</w:t>
      </w:r>
    </w:p>
    <w:p>
      <w:pPr>
        <w:spacing w:before="40" w:after="120"/>
      </w:pPr>
      <w:r>
        <w:rPr>
          <w:b/>
          <w:sz w:val="24"/>
        </w:rPr>
        <w:t>Continuity Into Delivery:</w:t>
      </w:r>
      <w:r>
        <w:rPr>
          <w:sz w:val="24"/>
        </w:rPr>
        <w:br/>
        <w:t>Because you are in the room before the handoff, you carry the client’s real context into scoping and delivery — which is precisely what makes the handoff work rather than leak.</w:t>
      </w:r>
    </w:p>
    <w:p>
      <w:pPr>
        <w:spacing w:before="40" w:after="120"/>
      </w:pPr>
      <w:r>
        <w:rPr>
          <w:b/>
          <w:sz w:val="24"/>
        </w:rPr>
        <w:t>Within the Boundary:</w:t>
      </w:r>
      <w:r>
        <w:rPr>
          <w:sz w:val="24"/>
        </w:rPr>
        <w:br/>
        <w:t>On those calls you do not quote price, set margin, or commit capacity. Capacity and cost sit with AI Implementation &amp; Deployment and margin floors with the CFO, and that holds whoever is in the room.</w:t>
      </w:r>
    </w:p>
    <w:p>
      <w:pPr>
        <w:spacing w:before="160" w:after="60"/>
      </w:pPr>
      <w:r>
        <w:rPr>
          <w:rFonts w:ascii="DM Serif Display" w:hAnsi="DM Serif Display" w:cs="DM Serif Display" w:eastAsia="DM Serif Display"/>
          <w:color w:val="80BFB7"/>
          <w:sz w:val="28"/>
        </w:rPr>
        <w:t>Commercial Operations, Vendors &amp; Risk</w:t>
      </w:r>
    </w:p>
    <w:p>
      <w:pPr>
        <w:spacing w:before="40" w:after="120"/>
      </w:pPr>
      <w:r>
        <w:rPr>
          <w:b/>
          <w:sz w:val="24"/>
        </w:rPr>
        <w:t>Revenue Operations Infrastructure:</w:t>
      </w:r>
      <w:r>
        <w:rPr>
          <w:sz w:val="24"/>
        </w:rPr>
        <w:br/>
        <w:t>Own the systems and workflow behind the revenue engine—pipeline stages, approval gates, and reporting—in partnership with the CRO, who owns the number and the data within it.</w:t>
      </w:r>
    </w:p>
    <w:p>
      <w:pPr>
        <w:spacing w:before="40" w:after="120"/>
      </w:pPr>
      <w:r>
        <w:rPr>
          <w:b/>
          <w:sz w:val="24"/>
        </w:rPr>
        <w:t>Vendor &amp; Software Spend:</w:t>
      </w:r>
      <w:r>
        <w:rPr>
          <w:sz w:val="24"/>
        </w:rPr>
        <w:br/>
        <w:t>Manage vendors, subscriptions, and software spend in partnership with the CFO, keeping the stack lean and justified.</w:t>
      </w:r>
    </w:p>
    <w:p>
      <w:pPr>
        <w:spacing w:before="40" w:after="120"/>
      </w:pPr>
      <w:r>
        <w:rPr>
          <w:b/>
          <w:sz w:val="24"/>
        </w:rPr>
        <w:t>Operational Risk &amp; Continuity:</w:t>
      </w:r>
      <w:r>
        <w:rPr>
          <w:sz w:val="24"/>
        </w:rPr>
        <w:br/>
        <w:t>Maintain the controls, backups, records, and continuity practices a company handling enterprise client relationships is expected to have.</w:t>
      </w:r>
    </w:p>
    <w:p>
      <w:pPr>
        <w:spacing w:before="240" w:after="80"/>
      </w:pPr>
      <w:r>
        <w:rPr>
          <w:rFonts w:ascii="DM Serif Display" w:hAnsi="DM Serif Display" w:cs="DM Serif Display" w:eastAsia="DM Serif Display"/>
          <w:color w:val="0B87A1"/>
          <w:sz w:val="40"/>
        </w:rPr>
        <w:t>Operations Scope</w:t>
      </w:r>
    </w:p>
    <w:p>
      <w:pPr>
        <w:spacing w:before="40" w:after="120"/>
      </w:pPr>
      <w:r>
        <w:rPr>
          <w:b/>
          <w:sz w:val="24"/>
        </w:rPr>
        <w:t>Operating System:</w:t>
      </w:r>
      <w:r>
        <w:rPr>
          <w:sz w:val="24"/>
        </w:rPr>
        <w:br/>
        <w:t>Company processes, operating cadence, planning and review rhythm, documentation, and quality standards.</w:t>
      </w:r>
    </w:p>
    <w:p>
      <w:pPr>
        <w:spacing w:before="40" w:after="120"/>
      </w:pPr>
      <w:r>
        <w:rPr>
          <w:b/>
          <w:sz w:val="24"/>
        </w:rPr>
        <w:t>Business Systems:</w:t>
      </w:r>
      <w:r>
        <w:rPr>
          <w:sz w:val="24"/>
        </w:rPr>
        <w:br/>
        <w:t>CRM (system of record), project and task management, collaboration and storage, meetings and scheduling, and the integrations between them.</w:t>
      </w:r>
    </w:p>
    <w:p>
      <w:pPr>
        <w:spacing w:before="40" w:after="120"/>
      </w:pPr>
      <w:r>
        <w:rPr>
          <w:b/>
          <w:sz w:val="24"/>
        </w:rPr>
        <w:t>Data &amp; Reporting:</w:t>
      </w:r>
      <w:r>
        <w:rPr>
          <w:sz w:val="24"/>
        </w:rPr>
        <w:br/>
        <w:t>Data standards and hygiene across systems, metric definitions, dashboards, and leadership reporting.</w:t>
      </w:r>
    </w:p>
    <w:p>
      <w:pPr>
        <w:spacing w:before="40" w:after="120"/>
      </w:pPr>
      <w:r>
        <w:rPr>
          <w:b/>
          <w:sz w:val="24"/>
        </w:rPr>
        <w:t>People Operations:</w:t>
      </w:r>
      <w:r>
        <w:rPr>
          <w:sz w:val="24"/>
        </w:rPr>
        <w:br/>
        <w:t>Onboarding and offboarding, systems access and provisioning, enablement, and internal communication.</w:t>
      </w:r>
    </w:p>
    <w:p>
      <w:pPr>
        <w:spacing w:before="40" w:after="120"/>
      </w:pPr>
      <w:r>
        <w:rPr>
          <w:b/>
          <w:sz w:val="24"/>
        </w:rPr>
        <w:t>Client-Facing Commercial:</w:t>
      </w:r>
      <w:r>
        <w:rPr>
          <w:sz w:val="24"/>
        </w:rPr>
        <w:br/>
        <w:t>Joint presence with the CRO on sales calls, operational credibility with enterprise buyers, and continuity of client context into scoping and delivery.</w:t>
      </w:r>
    </w:p>
    <w:p>
      <w:pPr>
        <w:spacing w:before="40" w:after="120"/>
      </w:pPr>
      <w:r>
        <w:rPr>
          <w:b/>
          <w:sz w:val="24"/>
        </w:rPr>
        <w:t>Vendors &amp; Spend:</w:t>
      </w:r>
      <w:r>
        <w:rPr>
          <w:sz w:val="24"/>
        </w:rPr>
        <w:br/>
        <w:t>Software and vendor management, contracts administration, and operational cost discipline in partnership with the CFO.</w:t>
      </w:r>
    </w:p>
    <w:p>
      <w:pPr>
        <w:spacing w:after="120"/>
      </w:pPr>
      <w:r>
        <w:rPr>
          <w:sz w:val="24"/>
        </w:rPr>
        <w:t>The COO sets direction across all of the above and stays hands-on where it matters most, delegating depth to the right specialists as the team grows.</w:t>
      </w:r>
    </w:p>
    <w:p>
      <w:pPr>
        <w:spacing w:before="240" w:after="80"/>
      </w:pPr>
      <w:r>
        <w:rPr>
          <w:rFonts w:ascii="DM Serif Display" w:hAnsi="DM Serif Display" w:cs="DM Serif Display" w:eastAsia="DM Serif Display"/>
          <w:color w:val="0B87A1"/>
          <w:sz w:val="40"/>
        </w:rPr>
        <w:t>Required Qualifications</w:t>
      </w:r>
    </w:p>
    <w:p>
      <w:pPr>
        <w:spacing w:before="160" w:after="60"/>
      </w:pPr>
      <w:r>
        <w:rPr>
          <w:rFonts w:ascii="DM Serif Display" w:hAnsi="DM Serif Display" w:cs="DM Serif Display" w:eastAsia="DM Serif Display"/>
          <w:color w:val="80BFB7"/>
          <w:sz w:val="28"/>
        </w:rPr>
        <w:t>Core Competencies</w:t>
      </w:r>
    </w:p>
    <w:p>
      <w:pPr>
        <w:spacing w:before="40" w:after="120"/>
      </w:pPr>
      <w:r>
        <w:rPr>
          <w:b/>
          <w:sz w:val="24"/>
        </w:rPr>
        <w:t>Execution Mindset:</w:t>
      </w:r>
      <w:r>
        <w:rPr>
          <w:sz w:val="24"/>
        </w:rPr>
        <w:br/>
        <w:t>A demonstrated bias toward action—you finish what you start and turn ambiguity into clean, repeatable systems.</w:t>
      </w:r>
    </w:p>
    <w:p>
      <w:pPr>
        <w:spacing w:before="40" w:after="120"/>
      </w:pPr>
      <w:r>
        <w:rPr>
          <w:b/>
          <w:sz w:val="24"/>
        </w:rPr>
        <w:t>Systems &amp; Process Builder:</w:t>
      </w:r>
      <w:r>
        <w:rPr>
          <w:sz w:val="24"/>
        </w:rPr>
        <w:br/>
        <w:t>Proven ability to design, implement, document, and continuously improve both processes and the systems they run on.</w:t>
      </w:r>
    </w:p>
    <w:p>
      <w:pPr>
        <w:spacing w:before="40" w:after="120"/>
      </w:pPr>
      <w:r>
        <w:rPr>
          <w:b/>
          <w:sz w:val="24"/>
        </w:rPr>
        <w:t>Data Discipline:</w:t>
      </w:r>
      <w:r>
        <w:rPr>
          <w:sz w:val="24"/>
        </w:rPr>
        <w:br/>
        <w:t>Treats the integrity of the company’s data as a first-class responsibility, and can define, measure, and enforce the standard.</w:t>
      </w:r>
    </w:p>
    <w:p>
      <w:pPr>
        <w:spacing w:before="40" w:after="120"/>
      </w:pPr>
      <w:r>
        <w:rPr>
          <w:b/>
          <w:sz w:val="24"/>
        </w:rPr>
        <w:t>Cross-Functional Authority:</w:t>
      </w:r>
      <w:r>
        <w:rPr>
          <w:sz w:val="24"/>
        </w:rPr>
        <w:br/>
        <w:t>Holds peers accountable to shared standards without owning their functions, and makes handoffs between teams work.</w:t>
      </w:r>
    </w:p>
    <w:p>
      <w:pPr>
        <w:spacing w:before="40" w:after="120"/>
      </w:pPr>
      <w:r>
        <w:rPr>
          <w:b/>
          <w:sz w:val="24"/>
        </w:rPr>
        <w:t>Tech Savvy:</w:t>
      </w:r>
      <w:r>
        <w:rPr>
          <w:sz w:val="24"/>
        </w:rPr>
        <w:br/>
        <w:t>Learns and administers SaaS platforms quickly—CRM in particular—and knows when to delegate technical depth to the right expert.</w:t>
      </w:r>
    </w:p>
    <w:p>
      <w:pPr>
        <w:spacing w:before="40" w:after="120"/>
      </w:pPr>
      <w:r>
        <w:rPr>
          <w:b/>
          <w:sz w:val="24"/>
        </w:rPr>
        <w:t>Self-Direction &amp; Initiative:</w:t>
      </w:r>
      <w:r>
        <w:rPr>
          <w:sz w:val="24"/>
        </w:rPr>
        <w:br/>
        <w:t>Works independently, spots missing gaps and plugs them without being asked, and thrives in an early-stage environment without a fixed playbook.</w:t>
      </w:r>
    </w:p>
    <w:p>
      <w:pPr>
        <w:spacing w:before="160" w:after="60"/>
      </w:pPr>
      <w:r>
        <w:rPr>
          <w:rFonts w:ascii="DM Serif Display" w:hAnsi="DM Serif Display" w:cs="DM Serif Display" w:eastAsia="DM Serif Display"/>
          <w:color w:val="80BFB7"/>
          <w:sz w:val="28"/>
        </w:rPr>
        <w:t>Professional Experience</w:t>
      </w:r>
    </w:p>
    <w:p>
      <w:pPr>
        <w:spacing w:after="120"/>
      </w:pPr>
      <w:r>
        <w:rPr>
          <w:sz w:val="24"/>
        </w:rPr>
        <w:t>Senior operating leadership experience (e.g., COO, VP Operations, Head of Business Operations, or Chief of Staff with operating scope), ideally at a startup or scale-up.</w:t>
      </w:r>
    </w:p>
    <w:p>
      <w:pPr>
        <w:spacing w:after="120"/>
      </w:pPr>
      <w:r>
        <w:rPr>
          <w:sz w:val="24"/>
        </w:rPr>
        <w:t>Track record of standing up a company’s operating system from an early stage and improving it as the company scaled.</w:t>
      </w:r>
    </w:p>
    <w:p>
      <w:pPr>
        <w:spacing w:after="120"/>
      </w:pPr>
      <w:r>
        <w:rPr>
          <w:sz w:val="24"/>
        </w:rPr>
        <w:t>Hands-on experience owning and administering a CRM and the surrounding revenue-operations workflow, including reporting and data quality.</w:t>
      </w:r>
    </w:p>
    <w:p>
      <w:pPr>
        <w:spacing w:after="120"/>
      </w:pPr>
      <w:r>
        <w:rPr>
          <w:sz w:val="24"/>
        </w:rPr>
        <w:t>Experience administering project-management tools and core productivity suites (Google Workspace and/or Microsoft 365).</w:t>
      </w:r>
    </w:p>
    <w:p>
      <w:pPr>
        <w:spacing w:after="120"/>
      </w:pPr>
      <w:r>
        <w:rPr>
          <w:sz w:val="24"/>
        </w:rPr>
        <w:t>Experience owning onboarding, systems access and permissions, vendor management, and operational documentation.</w:t>
      </w:r>
    </w:p>
    <w:p>
      <w:pPr>
        <w:spacing w:before="240" w:after="80"/>
      </w:pPr>
      <w:r>
        <w:rPr>
          <w:rFonts w:ascii="DM Serif Display" w:hAnsi="DM Serif Display" w:cs="DM Serif Display" w:eastAsia="DM Serif Display"/>
          <w:color w:val="0B87A1"/>
          <w:sz w:val="40"/>
        </w:rPr>
        <w:t>Preferred Attributes</w:t>
      </w:r>
    </w:p>
    <w:p>
      <w:pPr>
        <w:pStyle w:val="ListBullet"/>
        <w:spacing w:after="80"/>
      </w:pPr>
      <w:r>
        <w:rPr>
          <w:sz w:val="24"/>
        </w:rPr>
        <w:t>Experience operating in a bootstrapped or capital-efficient company where discipline matters more than headcount.</w:t>
      </w:r>
    </w:p>
    <w:p>
      <w:pPr>
        <w:pStyle w:val="ListBullet"/>
        <w:spacing w:after="80"/>
      </w:pPr>
      <w:r>
        <w:rPr>
          <w:sz w:val="24"/>
        </w:rPr>
        <w:t>Comfortable being the person who makes handoffs between sales, delivery, and finance actually work.</w:t>
      </w:r>
    </w:p>
    <w:p>
      <w:pPr>
        <w:pStyle w:val="ListBullet"/>
        <w:spacing w:after="80"/>
      </w:pPr>
      <w:r>
        <w:rPr>
          <w:sz w:val="24"/>
        </w:rPr>
        <w:t>Excellent written communication for documenting processes across multi-disciplinary teams.</w:t>
      </w:r>
    </w:p>
    <w:p>
      <w:pPr>
        <w:pStyle w:val="ListBullet"/>
        <w:spacing w:after="80"/>
      </w:pPr>
      <w:r>
        <w:rPr>
          <w:sz w:val="24"/>
        </w:rPr>
        <w:t>Calm, dependable presence who removes friction for others and keeps work moving.</w:t>
      </w:r>
    </w:p>
    <w:p>
      <w:pPr>
        <w:pStyle w:val="ListBullet"/>
        <w:spacing w:after="80"/>
      </w:pPr>
      <w:r>
        <w:rPr>
          <w:sz w:val="24"/>
        </w:rPr>
        <w:t>Passion for continuous improvement—never satisfied that the operating system is “finished.”</w:t>
      </w:r>
    </w:p>
    <w:p>
      <w:pPr>
        <w:spacing w:before="240" w:after="80"/>
      </w:pPr>
      <w:r>
        <w:rPr>
          <w:rFonts w:ascii="DM Serif Display" w:hAnsi="DM Serif Display" w:cs="DM Serif Display" w:eastAsia="DM Serif Display"/>
          <w:color w:val="0B87A1"/>
          <w:sz w:val="40"/>
        </w:rPr>
        <w:t>Education</w:t>
      </w:r>
    </w:p>
    <w:p>
      <w:pPr>
        <w:spacing w:after="120"/>
      </w:pPr>
      <w:r>
        <w:rPr>
          <w:sz w:val="24"/>
        </w:rPr>
        <w:t>Bachelor’s degree in Business, Operations, Management, or a related field (or equivalent practical experience); an MBA or comparable experience is a plus.</w:t>
      </w:r>
    </w:p>
    <w:p>
      <w:pPr>
        <w:spacing w:before="240" w:after="120"/>
      </w:pPr>
      <w:r>
        <w:rPr>
          <w:sz w:val="24"/>
        </w:rPr>
        <w:t>This role is ideal for a builder who thrives on turning chaos into clean, repeatable systems—and who wants the executive mandate to make them stick. If you take pride in being the person who makes everything run, owns the systems and the data underneath it, and holds the whole company to one standard, we encourage you to apply.</w:t>
      </w:r>
    </w:p>
    <w:sectPr w:rsidR="00BE0C86" w:rsidRPr="008552A9" w:rsidSect="00E1631A">
      <w:headerReference w:type="default" r:id="rId8"/>
      <w:footerReference w:type="default" r:id="rId9"/>
      <w:pgSz w:w="12240" w:h="15840"/>
      <w:pgMar w:top="720" w:right="864" w:bottom="792" w:left="864"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41F3" w14:textId="77777777" w:rsidR="00D770CB" w:rsidRDefault="00D770CB">
      <w:pPr>
        <w:spacing w:after="0" w:line="240" w:lineRule="auto"/>
      </w:pPr>
      <w:r>
        <w:separator/>
      </w:r>
    </w:p>
  </w:endnote>
  <w:endnote w:type="continuationSeparator" w:id="0">
    <w:p w14:paraId="2CBCBDCB" w14:textId="77777777" w:rsidR="00D770CB" w:rsidRDefault="00D77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M Serif Display">
    <w:panose1 w:val="00000000000000000000"/>
    <w:charset w:val="00"/>
    <w:family w:val="auto"/>
    <w:pitch w:val="variable"/>
    <w:sig w:usb0="A00002EF" w:usb1="0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AF0E" w14:textId="22E2363B" w:rsidR="00905C88" w:rsidRPr="009464BC" w:rsidRDefault="00DE3170">
    <w:pPr>
      <w:pStyle w:val="Footer"/>
      <w:jc w:val="center"/>
      <w:rPr>
        <w:sz w:val="24"/>
        <w:szCs w:val="28"/>
      </w:rPr>
    </w:pPr>
    <w:r w:rsidRPr="009464BC">
      <w:rPr>
        <w:rFonts w:ascii="Segoe UI" w:eastAsia="Segoe UI" w:hAnsi="Segoe UI" w:cs="Segoe UI"/>
        <w:b/>
        <w:color w:val="003B55"/>
        <w:sz w:val="20"/>
        <w:szCs w:val="28"/>
      </w:rPr>
      <w:t>ClearData AI</w:t>
    </w:r>
    <w:r w:rsidRPr="009464BC">
      <w:rPr>
        <w:color w:val="5A6A70"/>
        <w:sz w:val="20"/>
        <w:szCs w:val="28"/>
      </w:rPr>
      <w:t xml:space="preserve">      The AI Operating Layer for Enterprise      </w:t>
    </w:r>
    <w:r w:rsidR="009464BC">
      <w:rPr>
        <w:rFonts w:ascii="Segoe UI" w:eastAsia="Segoe UI" w:hAnsi="Segoe UI" w:cs="Segoe UI"/>
        <w:b/>
        <w:color w:val="0B87A1"/>
        <w:sz w:val="20"/>
        <w:szCs w:val="28"/>
      </w:rPr>
      <w:t>info@c</w:t>
    </w:r>
    <w:r w:rsidRPr="009464BC">
      <w:rPr>
        <w:rFonts w:ascii="Segoe UI" w:eastAsia="Segoe UI" w:hAnsi="Segoe UI" w:cs="Segoe UI"/>
        <w:b/>
        <w:color w:val="0B87A1"/>
        <w:sz w:val="20"/>
        <w:szCs w:val="28"/>
      </w:rPr>
      <w:t>leardataai.ai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C3182" w14:textId="77777777" w:rsidR="00D770CB" w:rsidRDefault="00D770CB">
      <w:pPr>
        <w:spacing w:after="0" w:line="240" w:lineRule="auto"/>
      </w:pPr>
      <w:r>
        <w:separator/>
      </w:r>
    </w:p>
  </w:footnote>
  <w:footnote w:type="continuationSeparator" w:id="0">
    <w:p w14:paraId="4B2B2AEA" w14:textId="77777777" w:rsidR="00D770CB" w:rsidRDefault="00D77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F5C13" w14:textId="4A882982" w:rsidR="00E1631A" w:rsidRDefault="00E1631A" w:rsidP="00E1631A">
    <w:pPr>
      <w:pStyle w:val="Header"/>
      <w:ind w:hanging="864"/>
    </w:pPr>
    <w:r>
      <w:rPr>
        <w:noProof/>
      </w:rPr>
      <w:drawing>
        <wp:inline distT="0" distB="0" distL="0" distR="0" wp14:anchorId="64F9363F" wp14:editId="0161E68C">
          <wp:extent cx="7880350" cy="701040"/>
          <wp:effectExtent l="0" t="0" r="6350" b="3810"/>
          <wp:docPr id="1405122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22757" name="Picture 2"/>
                  <pic:cNvPicPr preferRelativeResize="0">
                    <a:picLocks noChangeAspect="1" noChangeArrowheads="1"/>
                  </pic:cNvPicPr>
                </pic:nvPicPr>
                <pic:blipFill>
                  <a:blip r:embed="rId1"/>
                  <a:stretch>
                    <a:fillRect/>
                  </a:stretch>
                </pic:blipFill>
                <pic:spPr bwMode="auto">
                  <a:xfrm>
                    <a:off x="0" y="0"/>
                    <a:ext cx="8049785" cy="71611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3225600">
    <w:abstractNumId w:val="8"/>
  </w:num>
  <w:num w:numId="2" w16cid:durableId="193230840">
    <w:abstractNumId w:val="6"/>
  </w:num>
  <w:num w:numId="3" w16cid:durableId="899900601">
    <w:abstractNumId w:val="5"/>
  </w:num>
  <w:num w:numId="4" w16cid:durableId="1937591525">
    <w:abstractNumId w:val="4"/>
  </w:num>
  <w:num w:numId="5" w16cid:durableId="742677066">
    <w:abstractNumId w:val="7"/>
  </w:num>
  <w:num w:numId="6" w16cid:durableId="1755737479">
    <w:abstractNumId w:val="3"/>
  </w:num>
  <w:num w:numId="7" w16cid:durableId="1607077897">
    <w:abstractNumId w:val="2"/>
  </w:num>
  <w:num w:numId="8" w16cid:durableId="182018665">
    <w:abstractNumId w:val="1"/>
  </w:num>
  <w:num w:numId="9" w16cid:durableId="13090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527"/>
    <w:rsid w:val="00106358"/>
    <w:rsid w:val="0015074B"/>
    <w:rsid w:val="001B3C2E"/>
    <w:rsid w:val="001E499D"/>
    <w:rsid w:val="001F42B3"/>
    <w:rsid w:val="00211885"/>
    <w:rsid w:val="0029639D"/>
    <w:rsid w:val="00326F90"/>
    <w:rsid w:val="004229E7"/>
    <w:rsid w:val="005D192D"/>
    <w:rsid w:val="006F24FB"/>
    <w:rsid w:val="007B56D6"/>
    <w:rsid w:val="008552A9"/>
    <w:rsid w:val="00905C88"/>
    <w:rsid w:val="009464BC"/>
    <w:rsid w:val="00971018"/>
    <w:rsid w:val="00985296"/>
    <w:rsid w:val="00990854"/>
    <w:rsid w:val="00A04087"/>
    <w:rsid w:val="00A63C37"/>
    <w:rsid w:val="00A757CC"/>
    <w:rsid w:val="00AA1D8D"/>
    <w:rsid w:val="00B47730"/>
    <w:rsid w:val="00BE0C86"/>
    <w:rsid w:val="00C56C08"/>
    <w:rsid w:val="00CB0664"/>
    <w:rsid w:val="00D770CB"/>
    <w:rsid w:val="00DE3170"/>
    <w:rsid w:val="00E1631A"/>
    <w:rsid w:val="00E40B85"/>
    <w:rsid w:val="00E54F8A"/>
    <w:rsid w:val="00F0168A"/>
    <w:rsid w:val="00F47865"/>
    <w:rsid w:val="00FC693F"/>
    <w:rsid w:val="00FE1D15"/>
    <w:rsid w:val="00FF66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99ACF3"/>
  <w14:defaultImageDpi w14:val="300"/>
  <w15:docId w15:val="{B9959248-ADF0-4B81-98B0-B6827056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4FB"/>
    <w:rPr>
      <w:rFonts w:ascii="Segoe UI Light" w:eastAsia="Segoe UI Light" w:hAnsi="Segoe UI Light" w:cs="Segoe UI Light"/>
      <w:color w:val="2B2B2B"/>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Derek Kane</cp:lastModifiedBy>
  <cp:revision>2</cp:revision>
  <dcterms:created xsi:type="dcterms:W3CDTF">2026-06-02T15:56:00Z</dcterms:created>
  <dcterms:modified xsi:type="dcterms:W3CDTF">2026-06-02T15:56:00Z</dcterms:modified>
  <cp:category/>
</cp:coreProperties>
</file>