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40"/>
      </w:pPr>
    </w:p>
    <w:p>
      <w:pPr>
        <w:spacing w:after="40"/>
      </w:pPr>
      <w:r>
        <w:rPr>
          <w:rFonts w:ascii="DM Serif Display" w:hAnsi="DM Serif Display" w:cs="DM Serif Display" w:eastAsia="DM Serif Display"/>
          <w:color w:val="80BFB7"/>
          <w:sz w:val="40"/>
        </w:rPr>
        <w:t xml:space="preserve">Job Title:  </w:t>
      </w:r>
      <w:r>
        <w:rPr>
          <w:rFonts w:ascii="DM Serif Display" w:hAnsi="DM Serif Display" w:cs="DM Serif Display" w:eastAsia="DM Serif Display"/>
          <w:color w:val="003B55"/>
          <w:sz w:val="40"/>
        </w:rPr>
        <w:t>Chief Financial Officer (CFO)</w:t>
      </w:r>
    </w:p>
    <w:p>
      <w:pPr>
        <w:spacing w:after="160"/>
      </w:pPr>
      <w:r>
        <w:rPr>
          <w:rFonts w:ascii="DM Serif Display" w:hAnsi="DM Serif Display" w:cs="DM Serif Display" w:eastAsia="DM Serif Display"/>
          <w:color w:val="0B87A1"/>
          <w:sz w:val="40"/>
        </w:rPr>
        <w:t>Job Summary</w:t>
      </w:r>
    </w:p>
    <w:p>
      <w:pPr>
        <w:spacing w:after="120"/>
      </w:pPr>
      <w:r>
        <w:rPr>
          <w:sz w:val="24"/>
        </w:rPr>
        <w:t>We are seeking a hands-on Chief Financial Officer to build the financial foundation of ClearData AI and protect the economics of everything we sell. We are a bootstrapped company closing our first enterprise deals, so this is not a stewardship role inherited from a functioning finance department—it is a build. You will stand up the financial model, own cash and runway, define the unit economics and margin framework the commercial team sells within, and put in place the controls and reporting a company selling to enterprise and regulated clients is expected to have.</w:t>
      </w:r>
    </w:p>
    <w:p>
      <w:pPr>
        <w:spacing w:after="120"/>
      </w:pPr>
      <w:r>
        <w:rPr>
          <w:sz w:val="24"/>
        </w:rPr>
        <w:t>As the senior-most financial leader, you are accountable for how money moves through the business—from pricing economics and deal margin, through cash, billing, and collections, to reporting, compliance, and capital strategy. You will be a genuine commercial partner rather than a back-office function: you set the margin floors and approval authority that deals are structured against, you pressure-test the numbers behind every proposal, and you make sure growth is priced to be profitable, not just won.</w:t>
      </w:r>
    </w:p>
    <w:p>
      <w:pPr>
        <w:spacing w:before="240" w:after="80"/>
      </w:pPr>
      <w:r>
        <w:rPr>
          <w:rFonts w:ascii="DM Serif Display" w:hAnsi="DM Serif Display" w:cs="DM Serif Display" w:eastAsia="DM Serif Display"/>
          <w:color w:val="0B87A1"/>
          <w:sz w:val="40"/>
        </w:rPr>
        <w:t>Key Responsibilities</w:t>
      </w:r>
    </w:p>
    <w:p>
      <w:pPr>
        <w:spacing w:before="160" w:after="60"/>
      </w:pPr>
      <w:r>
        <w:rPr>
          <w:rFonts w:ascii="DM Serif Display" w:hAnsi="DM Serif Display" w:cs="DM Serif Display" w:eastAsia="DM Serif Display"/>
          <w:color w:val="80BFB7"/>
          <w:sz w:val="28"/>
        </w:rPr>
        <w:t>Financial Strategy &amp; Planning</w:t>
      </w:r>
    </w:p>
    <w:p>
      <w:pPr>
        <w:spacing w:before="40" w:after="120"/>
      </w:pPr>
      <w:r>
        <w:rPr>
          <w:b/>
          <w:sz w:val="24"/>
        </w:rPr>
        <w:t>Financial Model &amp; Forecast:</w:t>
      </w:r>
      <w:r>
        <w:rPr>
          <w:sz w:val="24"/>
        </w:rPr>
        <w:br/>
        <w:t>Build and own the company’s financial model, forecast, and scenario planning—and keep it honest as assumptions meet reality.</w:t>
      </w:r>
    </w:p>
    <w:p>
      <w:pPr>
        <w:spacing w:before="40" w:after="120"/>
      </w:pPr>
      <w:r>
        <w:rPr>
          <w:b/>
          <w:sz w:val="24"/>
        </w:rPr>
        <w:t>Cash &amp; Runway:</w:t>
      </w:r>
      <w:r>
        <w:rPr>
          <w:sz w:val="24"/>
        </w:rPr>
        <w:br/>
        <w:t>Own cash management and runway as the defining constraint of a bootstrapped company, with clear visibility on what we can commit to and when.</w:t>
      </w:r>
    </w:p>
    <w:p>
      <w:pPr>
        <w:spacing w:before="40" w:after="120"/>
      </w:pPr>
      <w:r>
        <w:rPr>
          <w:b/>
          <w:sz w:val="24"/>
        </w:rPr>
        <w:t>Budgeting &amp; Capital Allocation:</w:t>
      </w:r>
      <w:r>
        <w:rPr>
          <w:sz w:val="24"/>
        </w:rPr>
        <w:br/>
        <w:t>Set and manage the operating budget, and advise the CEO on where each incremental dollar is best deployed.</w:t>
      </w:r>
    </w:p>
    <w:p>
      <w:pPr>
        <w:spacing w:before="160" w:after="60"/>
      </w:pPr>
      <w:r>
        <w:rPr>
          <w:rFonts w:ascii="DM Serif Display" w:hAnsi="DM Serif Display" w:cs="DM Serif Display" w:eastAsia="DM Serif Display"/>
          <w:color w:val="80BFB7"/>
          <w:sz w:val="28"/>
        </w:rPr>
        <w:t>Unit Economics, Pricing &amp; Deal Governance</w:t>
      </w:r>
    </w:p>
    <w:p>
      <w:pPr>
        <w:spacing w:before="40" w:after="120"/>
      </w:pPr>
      <w:r>
        <w:rPr>
          <w:b/>
          <w:sz w:val="24"/>
        </w:rPr>
        <w:t>Unit Economics:</w:t>
      </w:r>
      <w:r>
        <w:rPr>
          <w:sz w:val="24"/>
        </w:rPr>
        <w:br/>
        <w:t>Define and maintain the unit economics of the business—cost to serve, gross margin by offering, payback, and lifetime value—across both subscription and platform engagements.</w:t>
      </w:r>
    </w:p>
    <w:p>
      <w:pPr>
        <w:spacing w:before="40" w:after="120"/>
      </w:pPr>
      <w:r>
        <w:rPr>
          <w:b/>
          <w:sz w:val="24"/>
        </w:rPr>
        <w:t>Margin Framework &amp; Floors:</w:t>
      </w:r>
      <w:r>
        <w:rPr>
          <w:sz w:val="24"/>
        </w:rPr>
        <w:br/>
        <w:t>Own the margin thresholds, discount bands, and approval authority that every proposal is built against, so commercial freedom operates inside defined economics.</w:t>
      </w:r>
    </w:p>
    <w:p>
      <w:pPr>
        <w:spacing w:before="40" w:after="120"/>
      </w:pPr>
      <w:r>
        <w:rPr>
          <w:b/>
          <w:sz w:val="24"/>
        </w:rPr>
        <w:t>Deal Review &amp; Approval:</w:t>
      </w:r>
      <w:r>
        <w:rPr>
          <w:sz w:val="24"/>
        </w:rPr>
        <w:br/>
        <w:t>Review the economics behind budgetary proposals—capacity assumptions, cost build-up, and margin—and approve, or escalate, anything that falls outside the standard framework.</w:t>
      </w:r>
    </w:p>
    <w:p>
      <w:pPr>
        <w:spacing w:before="40" w:after="120"/>
      </w:pPr>
      <w:r>
        <w:rPr>
          <w:b/>
          <w:sz w:val="24"/>
        </w:rPr>
        <w:t>Margin Realization:</w:t>
      </w:r>
      <w:r>
        <w:rPr>
          <w:sz w:val="24"/>
        </w:rPr>
        <w:br/>
        <w:t>Track delivered margin against what was proposed, and feed the variance back into pricing, estimating, and capacity assumptions.</w:t>
      </w:r>
    </w:p>
    <w:p>
      <w:pPr>
        <w:spacing w:before="160" w:after="60"/>
      </w:pPr>
      <w:r>
        <w:rPr>
          <w:rFonts w:ascii="DM Serif Display" w:hAnsi="DM Serif Display" w:cs="DM Serif Display" w:eastAsia="DM Serif Display"/>
          <w:color w:val="80BFB7"/>
          <w:sz w:val="28"/>
        </w:rPr>
        <w:t>Controls, Accounting &amp; Compliance</w:t>
      </w:r>
    </w:p>
    <w:p>
      <w:pPr>
        <w:spacing w:before="40" w:after="120"/>
      </w:pPr>
      <w:r>
        <w:rPr>
          <w:b/>
          <w:sz w:val="24"/>
        </w:rPr>
        <w:t>Accounting &amp; Close:</w:t>
      </w:r>
      <w:r>
        <w:rPr>
          <w:sz w:val="24"/>
        </w:rPr>
        <w:br/>
        <w:t>Own bookkeeping, the monthly close, and financial reporting—accurate, timely, and reconciled to the systems of record.</w:t>
      </w:r>
    </w:p>
    <w:p>
      <w:pPr>
        <w:spacing w:before="40" w:after="120"/>
      </w:pPr>
      <w:r>
        <w:rPr>
          <w:b/>
          <w:sz w:val="24"/>
        </w:rPr>
        <w:t>Billing, AR &amp; Collections:</w:t>
      </w:r>
      <w:r>
        <w:rPr>
          <w:sz w:val="24"/>
        </w:rPr>
        <w:br/>
        <w:t>Own invoicing, receivables, and collections so revenue that is won actually converts to cash on time.</w:t>
      </w:r>
    </w:p>
    <w:p>
      <w:pPr>
        <w:spacing w:before="40" w:after="120"/>
      </w:pPr>
      <w:r>
        <w:rPr>
          <w:b/>
          <w:sz w:val="24"/>
        </w:rPr>
        <w:t>Controls &amp; Policy:</w:t>
      </w:r>
      <w:r>
        <w:rPr>
          <w:sz w:val="24"/>
        </w:rPr>
        <w:br/>
        <w:t>Establish the financial controls, approval limits, and expense policy appropriate to our size—enough rigor to be credible, not so much that it slows the company down.</w:t>
      </w:r>
    </w:p>
    <w:p>
      <w:pPr>
        <w:spacing w:before="40" w:after="120"/>
      </w:pPr>
      <w:r>
        <w:rPr>
          <w:b/>
          <w:sz w:val="24"/>
        </w:rPr>
        <w:t>Tax, Entity &amp; Insurance:</w:t>
      </w:r>
      <w:r>
        <w:rPr>
          <w:sz w:val="24"/>
        </w:rPr>
        <w:br/>
        <w:t>Manage tax filings, entity and corporate housekeeping, insurance, and the external accounting and legal relationships that support them.</w:t>
      </w:r>
    </w:p>
    <w:p>
      <w:pPr>
        <w:spacing w:before="160" w:after="60"/>
      </w:pPr>
      <w:r>
        <w:rPr>
          <w:rFonts w:ascii="DM Serif Display" w:hAnsi="DM Serif Display" w:cs="DM Serif Display" w:eastAsia="DM Serif Display"/>
          <w:color w:val="80BFB7"/>
          <w:sz w:val="28"/>
        </w:rPr>
        <w:t>Capital Strategy &amp; Investor Readiness</w:t>
      </w:r>
    </w:p>
    <w:p>
      <w:pPr>
        <w:spacing w:before="40" w:after="120"/>
      </w:pPr>
      <w:r>
        <w:rPr>
          <w:b/>
          <w:sz w:val="24"/>
        </w:rPr>
        <w:t>Capital Strategy:</w:t>
      </w:r>
      <w:r>
        <w:rPr>
          <w:sz w:val="24"/>
        </w:rPr>
        <w:br/>
        <w:t>Advise the CEO on if, when, and how to raise capital or take on debt—and on the cost of staying bootstrapped.</w:t>
      </w:r>
    </w:p>
    <w:p>
      <w:pPr>
        <w:spacing w:before="40" w:after="120"/>
      </w:pPr>
      <w:r>
        <w:rPr>
          <w:b/>
          <w:sz w:val="24"/>
        </w:rPr>
        <w:t>Investor Materials &amp; Diligence:</w:t>
      </w:r>
      <w:r>
        <w:rPr>
          <w:sz w:val="24"/>
        </w:rPr>
        <w:br/>
        <w:t>Build the financial narrative, model, and data room that stand up to investor and acquirer scrutiny.</w:t>
      </w:r>
    </w:p>
    <w:p>
      <w:pPr>
        <w:spacing w:before="40" w:after="120"/>
      </w:pPr>
      <w:r>
        <w:rPr>
          <w:b/>
          <w:sz w:val="24"/>
        </w:rPr>
        <w:t>Reporting Discipline:</w:t>
      </w:r>
      <w:r>
        <w:rPr>
          <w:sz w:val="24"/>
        </w:rPr>
        <w:br/>
        <w:t>Produce the reporting cadence that would satisfy an outside investor before we have one—because that is the discipline that makes us fundable.</w:t>
      </w:r>
    </w:p>
    <w:p>
      <w:pPr>
        <w:spacing w:before="160" w:after="60"/>
      </w:pPr>
      <w:r>
        <w:rPr>
          <w:rFonts w:ascii="DM Serif Display" w:hAnsi="DM Serif Display" w:cs="DM Serif Display" w:eastAsia="DM Serif Display"/>
          <w:color w:val="80BFB7"/>
          <w:sz w:val="28"/>
        </w:rPr>
        <w:t>Business Partnership &amp; Risk</w:t>
      </w:r>
    </w:p>
    <w:p>
      <w:pPr>
        <w:spacing w:before="40" w:after="120"/>
      </w:pPr>
      <w:r>
        <w:rPr>
          <w:b/>
          <w:sz w:val="24"/>
        </w:rPr>
        <w:t>Commercial Partnership:</w:t>
      </w:r>
      <w:r>
        <w:rPr>
          <w:sz w:val="24"/>
        </w:rPr>
        <w:br/>
        <w:t>Partner closely with the CRO on pricing and negotiation strategy, and with delivery leadership on the capacity and cost assumptions behind every proposal.</w:t>
      </w:r>
    </w:p>
    <w:p>
      <w:pPr>
        <w:spacing w:before="40" w:after="120"/>
      </w:pPr>
      <w:r>
        <w:rPr>
          <w:b/>
          <w:sz w:val="24"/>
        </w:rPr>
        <w:t>Contracts &amp; Commercial Terms:</w:t>
      </w:r>
      <w:r>
        <w:rPr>
          <w:sz w:val="24"/>
        </w:rPr>
        <w:br/>
        <w:t>Review commercial terms, payment schedules, and revenue recognition implications, and coordinate external legal review where required.</w:t>
      </w:r>
    </w:p>
    <w:p>
      <w:pPr>
        <w:spacing w:before="40" w:after="120"/>
      </w:pPr>
      <w:r>
        <w:rPr>
          <w:b/>
          <w:sz w:val="24"/>
        </w:rPr>
        <w:t>Risk &amp; Client Diligence:</w:t>
      </w:r>
      <w:r>
        <w:rPr>
          <w:sz w:val="24"/>
        </w:rPr>
        <w:br/>
        <w:t>Support enterprise procurement and financial diligence, and manage the company’s credit, concentration, and contractual risk.</w:t>
      </w:r>
    </w:p>
    <w:p>
      <w:pPr>
        <w:spacing w:before="240" w:after="80"/>
      </w:pPr>
      <w:r>
        <w:rPr>
          <w:rFonts w:ascii="DM Serif Display" w:hAnsi="DM Serif Display" w:cs="DM Serif Display" w:eastAsia="DM Serif Display"/>
          <w:color w:val="0B87A1"/>
          <w:sz w:val="40"/>
        </w:rPr>
        <w:t>Finance Scope</w:t>
      </w:r>
    </w:p>
    <w:p>
      <w:pPr>
        <w:spacing w:before="40" w:after="120"/>
      </w:pPr>
      <w:r>
        <w:rPr>
          <w:b/>
          <w:sz w:val="24"/>
        </w:rPr>
        <w:t>Planning &amp; Analysis:</w:t>
      </w:r>
      <w:r>
        <w:rPr>
          <w:sz w:val="24"/>
        </w:rPr>
        <w:br/>
        <w:t>Financial model, forecast, budget, scenario planning, runway, and management reporting.</w:t>
      </w:r>
    </w:p>
    <w:p>
      <w:pPr>
        <w:spacing w:before="40" w:after="120"/>
      </w:pPr>
      <w:r>
        <w:rPr>
          <w:b/>
          <w:sz w:val="24"/>
        </w:rPr>
        <w:t>Deal Economics:</w:t>
      </w:r>
      <w:r>
        <w:rPr>
          <w:sz w:val="24"/>
        </w:rPr>
        <w:br/>
        <w:t>Unit economics, pricing and margin framework, discount bands and approval authority, proposal review, and delivered-margin variance.</w:t>
      </w:r>
    </w:p>
    <w:p>
      <w:pPr>
        <w:spacing w:before="40" w:after="120"/>
      </w:pPr>
      <w:r>
        <w:rPr>
          <w:b/>
          <w:sz w:val="24"/>
        </w:rPr>
        <w:t>Accounting &amp; Cash:</w:t>
      </w:r>
      <w:r>
        <w:rPr>
          <w:sz w:val="24"/>
        </w:rPr>
        <w:br/>
        <w:t>Bookkeeping, monthly close, billing, accounts receivable and payable, collections, and treasury.</w:t>
      </w:r>
    </w:p>
    <w:p>
      <w:pPr>
        <w:spacing w:before="40" w:after="120"/>
      </w:pPr>
      <w:r>
        <w:rPr>
          <w:b/>
          <w:sz w:val="24"/>
        </w:rPr>
        <w:t>Compliance &amp; Controls:</w:t>
      </w:r>
      <w:r>
        <w:rPr>
          <w:sz w:val="24"/>
        </w:rPr>
        <w:br/>
        <w:t>Tax, entity administration, insurance, financial controls and policy, and audit readiness.</w:t>
      </w:r>
    </w:p>
    <w:p>
      <w:pPr>
        <w:spacing w:before="40" w:after="120"/>
      </w:pPr>
      <w:r>
        <w:rPr>
          <w:b/>
          <w:sz w:val="24"/>
        </w:rPr>
        <w:t>Capital &amp; Investors:</w:t>
      </w:r>
      <w:r>
        <w:rPr>
          <w:sz w:val="24"/>
        </w:rPr>
        <w:br/>
        <w:t>Capital strategy, fundraising materials, diligence support, and investor reporting.</w:t>
      </w:r>
    </w:p>
    <w:p>
      <w:pPr>
        <w:spacing w:after="120"/>
      </w:pPr>
      <w:r>
        <w:rPr>
          <w:sz w:val="24"/>
        </w:rPr>
        <w:t>The CFO sets direction across all of the above and stays hands-on in a bootstrapped company, delegating to external accounting, tax, and legal partners where that is the more efficient use of capital.</w:t>
      </w:r>
    </w:p>
    <w:p>
      <w:pPr>
        <w:spacing w:before="240" w:after="80"/>
      </w:pPr>
      <w:r>
        <w:rPr>
          <w:rFonts w:ascii="DM Serif Display" w:hAnsi="DM Serif Display" w:cs="DM Serif Display" w:eastAsia="DM Serif Display"/>
          <w:color w:val="0B87A1"/>
          <w:sz w:val="40"/>
        </w:rPr>
        <w:t>Required Qualifications</w:t>
      </w:r>
    </w:p>
    <w:p>
      <w:pPr>
        <w:spacing w:before="160" w:after="60"/>
      </w:pPr>
      <w:r>
        <w:rPr>
          <w:rFonts w:ascii="DM Serif Display" w:hAnsi="DM Serif Display" w:cs="DM Serif Display" w:eastAsia="DM Serif Display"/>
          <w:color w:val="80BFB7"/>
          <w:sz w:val="28"/>
        </w:rPr>
        <w:t>Core Competencies</w:t>
      </w:r>
    </w:p>
    <w:p>
      <w:pPr>
        <w:spacing w:before="40" w:after="120"/>
      </w:pPr>
      <w:r>
        <w:rPr>
          <w:b/>
          <w:sz w:val="24"/>
        </w:rPr>
        <w:t>Commercial Finance Judgment:</w:t>
      </w:r>
      <w:r>
        <w:rPr>
          <w:sz w:val="24"/>
        </w:rPr>
        <w:br/>
        <w:t>Understands how a deal is priced, costed, and delivered—and can tell the difference between a good deal and a big one.</w:t>
      </w:r>
    </w:p>
    <w:p>
      <w:pPr>
        <w:spacing w:before="40" w:after="120"/>
      </w:pPr>
      <w:r>
        <w:rPr>
          <w:b/>
          <w:sz w:val="24"/>
        </w:rPr>
        <w:t>Builder’s Instinct:</w:t>
      </w:r>
      <w:r>
        <w:rPr>
          <w:sz w:val="24"/>
        </w:rPr>
        <w:br/>
        <w:t>Comfortable creating the model, the controls, and the reporting from a blank page rather than inheriting them.</w:t>
      </w:r>
    </w:p>
    <w:p>
      <w:pPr>
        <w:spacing w:before="40" w:after="120"/>
      </w:pPr>
      <w:r>
        <w:rPr>
          <w:b/>
          <w:sz w:val="24"/>
        </w:rPr>
        <w:t>Cash Discipline:</w:t>
      </w:r>
      <w:r>
        <w:rPr>
          <w:sz w:val="24"/>
        </w:rPr>
        <w:br/>
        <w:t>Manages a business to cash, not just to accounting profit, and knows what that demands of a bootstrapped company.</w:t>
      </w:r>
    </w:p>
    <w:p>
      <w:pPr>
        <w:spacing w:before="40" w:after="120"/>
      </w:pPr>
      <w:r>
        <w:rPr>
          <w:b/>
          <w:sz w:val="24"/>
        </w:rPr>
        <w:t>Analytical Rigor:</w:t>
      </w:r>
      <w:r>
        <w:rPr>
          <w:sz w:val="24"/>
        </w:rPr>
        <w:br/>
        <w:t>Builds models that hold up under scrutiny and states assumptions plainly rather than burying them.</w:t>
      </w:r>
    </w:p>
    <w:p>
      <w:pPr>
        <w:spacing w:before="40" w:after="120"/>
      </w:pPr>
      <w:r>
        <w:rPr>
          <w:b/>
          <w:sz w:val="24"/>
        </w:rPr>
        <w:t>Influence Without Obstruction:</w:t>
      </w:r>
      <w:r>
        <w:rPr>
          <w:sz w:val="24"/>
        </w:rPr>
        <w:br/>
        <w:t>Holds the economic line while helping the commercial team win—a partner in the deal, not a gatekeeper standing outside it.</w:t>
      </w:r>
    </w:p>
    <w:p>
      <w:pPr>
        <w:spacing w:before="40" w:after="120"/>
      </w:pPr>
      <w:r>
        <w:rPr>
          <w:b/>
          <w:sz w:val="24"/>
        </w:rPr>
        <w:t>Pragmatism:</w:t>
      </w:r>
      <w:r>
        <w:rPr>
          <w:sz w:val="24"/>
        </w:rPr>
        <w:br/>
        <w:t>Right-sizes rigor to company stage, and knows which controls matter now and which can wait.</w:t>
      </w:r>
    </w:p>
    <w:p>
      <w:pPr>
        <w:spacing w:before="160" w:after="60"/>
      </w:pPr>
      <w:r>
        <w:rPr>
          <w:rFonts w:ascii="DM Serif Display" w:hAnsi="DM Serif Display" w:cs="DM Serif Display" w:eastAsia="DM Serif Display"/>
          <w:color w:val="80BFB7"/>
          <w:sz w:val="28"/>
        </w:rPr>
        <w:t>Professional Experience</w:t>
      </w:r>
    </w:p>
    <w:p>
      <w:pPr>
        <w:spacing w:after="120"/>
      </w:pPr>
      <w:r>
        <w:rPr>
          <w:sz w:val="24"/>
        </w:rPr>
        <w:t>Senior finance leadership experience (e.g., CFO, VP Finance, or Head of Finance), ideally at a startup, scale-up, or professional-services or software business.</w:t>
      </w:r>
    </w:p>
    <w:p>
      <w:pPr>
        <w:spacing w:after="120"/>
      </w:pPr>
      <w:r>
        <w:rPr>
          <w:sz w:val="24"/>
        </w:rPr>
        <w:t>Track record of building the finance function from an early stage—first model, first controls, first reporting cadence.</w:t>
      </w:r>
    </w:p>
    <w:p>
      <w:pPr>
        <w:spacing w:after="120"/>
      </w:pPr>
      <w:r>
        <w:rPr>
          <w:sz w:val="24"/>
        </w:rPr>
        <w:t>Experience owning pricing economics, margin frameworks, and deal-level commercial review.</w:t>
      </w:r>
    </w:p>
    <w:p>
      <w:pPr>
        <w:spacing w:after="120"/>
      </w:pPr>
      <w:r>
        <w:rPr>
          <w:sz w:val="24"/>
        </w:rPr>
        <w:t>Hands-on ownership of cash management, billing and collections, and the monthly close.</w:t>
      </w:r>
    </w:p>
    <w:p>
      <w:pPr>
        <w:spacing w:after="120"/>
      </w:pPr>
      <w:r>
        <w:rPr>
          <w:sz w:val="24"/>
        </w:rPr>
        <w:t>Experience supporting fundraising, investor reporting, or acquirer diligence.</w:t>
      </w:r>
    </w:p>
    <w:p>
      <w:pPr>
        <w:spacing w:before="240" w:after="80"/>
      </w:pPr>
      <w:r>
        <w:rPr>
          <w:rFonts w:ascii="DM Serif Display" w:hAnsi="DM Serif Display" w:cs="DM Serif Display" w:eastAsia="DM Serif Display"/>
          <w:color w:val="0B87A1"/>
          <w:sz w:val="40"/>
        </w:rPr>
        <w:t>Preferred Attributes</w:t>
      </w:r>
    </w:p>
    <w:p>
      <w:pPr>
        <w:pStyle w:val="ListBullet"/>
        <w:spacing w:after="80"/>
      </w:pPr>
      <w:r>
        <w:rPr>
          <w:sz w:val="24"/>
        </w:rPr>
        <w:t>Experience in SaaS, cloud, or professional-services economics—subscription revenue alongside project-based delivery.</w:t>
      </w:r>
    </w:p>
    <w:p>
      <w:pPr>
        <w:pStyle w:val="ListBullet"/>
        <w:spacing w:after="80"/>
      </w:pPr>
      <w:r>
        <w:rPr>
          <w:sz w:val="24"/>
        </w:rPr>
        <w:t>Comfortable operating as a hands-on or fractional first finance leader in a bootstrapped company.</w:t>
      </w:r>
    </w:p>
    <w:p>
      <w:pPr>
        <w:pStyle w:val="ListBullet"/>
        <w:spacing w:after="80"/>
      </w:pPr>
      <w:r>
        <w:rPr>
          <w:sz w:val="24"/>
        </w:rPr>
        <w:t>Credible in front of enterprise procurement, auditors, lenders, and investors.</w:t>
      </w:r>
    </w:p>
    <w:p>
      <w:pPr>
        <w:pStyle w:val="ListBullet"/>
        <w:spacing w:after="80"/>
      </w:pPr>
      <w:r>
        <w:rPr>
          <w:sz w:val="24"/>
        </w:rPr>
        <w:t>Familiarity with revenue recognition for multi-element software and services contracts.</w:t>
      </w:r>
    </w:p>
    <w:p>
      <w:pPr>
        <w:pStyle w:val="ListBullet"/>
        <w:spacing w:after="80"/>
      </w:pPr>
      <w:r>
        <w:rPr>
          <w:sz w:val="24"/>
        </w:rPr>
        <w:t>Fast learner who plugs gaps, sets the bar, and operates with strong ownership in an early-stage company.</w:t>
      </w:r>
    </w:p>
    <w:p>
      <w:pPr>
        <w:spacing w:before="240" w:after="80"/>
      </w:pPr>
      <w:r>
        <w:rPr>
          <w:rFonts w:ascii="DM Serif Display" w:hAnsi="DM Serif Display" w:cs="DM Serif Display" w:eastAsia="DM Serif Display"/>
          <w:color w:val="0B87A1"/>
          <w:sz w:val="40"/>
        </w:rPr>
        <w:t>Education</w:t>
      </w:r>
    </w:p>
    <w:p>
      <w:pPr>
        <w:spacing w:after="120"/>
      </w:pPr>
      <w:r>
        <w:rPr>
          <w:sz w:val="24"/>
        </w:rPr>
        <w:t>Bachelor’s degree in Finance, Accounting, Economics, or a related field (or equivalent practical experience); a CPA, CFA, or MBA is a plus.</w:t>
      </w:r>
    </w:p>
    <w:p>
      <w:pPr>
        <w:spacing w:before="240" w:after="120"/>
      </w:pPr>
      <w:r>
        <w:rPr>
          <w:sz w:val="24"/>
        </w:rPr>
        <w:t>This role is ideal for a commercially minded finance leader who wants to build a company’s financial foundation rather than maintain someone else’s—and who understands that in a bootstrapped business, the economics of the next deal are the strategy. If you can model it, price it, control it, and still help close it, we encourage you to apply.</w:t>
      </w:r>
    </w:p>
    <w:sectPr w:rsidR="00BE0C86" w:rsidRPr="008552A9" w:rsidSect="00E1631A">
      <w:headerReference w:type="default" r:id="rId8"/>
      <w:footerReference w:type="default" r:id="rId9"/>
      <w:pgSz w:w="12240" w:h="15840"/>
      <w:pgMar w:top="720" w:right="864" w:bottom="792" w:left="864" w:header="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A741F3" w14:textId="77777777" w:rsidR="00D770CB" w:rsidRDefault="00D770CB">
      <w:pPr>
        <w:spacing w:after="0" w:line="240" w:lineRule="auto"/>
      </w:pPr>
      <w:r>
        <w:separator/>
      </w:r>
    </w:p>
  </w:endnote>
  <w:endnote w:type="continuationSeparator" w:id="0">
    <w:p w14:paraId="2CBCBDCB" w14:textId="77777777" w:rsidR="00D770CB" w:rsidRDefault="00D770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Light">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DM Serif Display">
    <w:panose1 w:val="00000000000000000000"/>
    <w:charset w:val="00"/>
    <w:family w:val="auto"/>
    <w:pitch w:val="variable"/>
    <w:sig w:usb0="A00002EF" w:usb1="0000004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CAF0E" w14:textId="22E2363B" w:rsidR="00905C88" w:rsidRPr="009464BC" w:rsidRDefault="00DE3170">
    <w:pPr>
      <w:pStyle w:val="Footer"/>
      <w:jc w:val="center"/>
      <w:rPr>
        <w:sz w:val="24"/>
        <w:szCs w:val="28"/>
      </w:rPr>
    </w:pPr>
    <w:r w:rsidRPr="009464BC">
      <w:rPr>
        <w:rFonts w:ascii="Segoe UI" w:eastAsia="Segoe UI" w:hAnsi="Segoe UI" w:cs="Segoe UI"/>
        <w:b/>
        <w:color w:val="003B55"/>
        <w:sz w:val="20"/>
        <w:szCs w:val="28"/>
      </w:rPr>
      <w:t>ClearData AI</w:t>
    </w:r>
    <w:r w:rsidRPr="009464BC">
      <w:rPr>
        <w:color w:val="5A6A70"/>
        <w:sz w:val="20"/>
        <w:szCs w:val="28"/>
      </w:rPr>
      <w:t xml:space="preserve">      The AI Operating Layer for Enterprise      </w:t>
    </w:r>
    <w:r w:rsidR="009464BC">
      <w:rPr>
        <w:rFonts w:ascii="Segoe UI" w:eastAsia="Segoe UI" w:hAnsi="Segoe UI" w:cs="Segoe UI"/>
        <w:b/>
        <w:color w:val="0B87A1"/>
        <w:sz w:val="20"/>
        <w:szCs w:val="28"/>
      </w:rPr>
      <w:t>info@c</w:t>
    </w:r>
    <w:r w:rsidRPr="009464BC">
      <w:rPr>
        <w:rFonts w:ascii="Segoe UI" w:eastAsia="Segoe UI" w:hAnsi="Segoe UI" w:cs="Segoe UI"/>
        <w:b/>
        <w:color w:val="0B87A1"/>
        <w:sz w:val="20"/>
        <w:szCs w:val="28"/>
      </w:rPr>
      <w:t>leardataai.ai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EC3182" w14:textId="77777777" w:rsidR="00D770CB" w:rsidRDefault="00D770CB">
      <w:pPr>
        <w:spacing w:after="0" w:line="240" w:lineRule="auto"/>
      </w:pPr>
      <w:r>
        <w:separator/>
      </w:r>
    </w:p>
  </w:footnote>
  <w:footnote w:type="continuationSeparator" w:id="0">
    <w:p w14:paraId="4B2B2AEA" w14:textId="77777777" w:rsidR="00D770CB" w:rsidRDefault="00D770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F5C13" w14:textId="4A882982" w:rsidR="00E1631A" w:rsidRDefault="00E1631A" w:rsidP="00E1631A">
    <w:pPr>
      <w:pStyle w:val="Header"/>
      <w:ind w:hanging="864"/>
    </w:pPr>
    <w:r>
      <w:rPr>
        <w:noProof/>
      </w:rPr>
      <w:drawing>
        <wp:inline distT="0" distB="0" distL="0" distR="0" wp14:anchorId="64F9363F" wp14:editId="0161E68C">
          <wp:extent cx="7880350" cy="701040"/>
          <wp:effectExtent l="0" t="0" r="6350" b="3810"/>
          <wp:docPr id="140512275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122757" name="Picture 2"/>
                  <pic:cNvPicPr preferRelativeResize="0">
                    <a:picLocks noChangeAspect="1" noChangeArrowheads="1"/>
                  </pic:cNvPicPr>
                </pic:nvPicPr>
                <pic:blipFill>
                  <a:blip r:embed="rId1"/>
                  <a:stretch>
                    <a:fillRect/>
                  </a:stretch>
                </pic:blipFill>
                <pic:spPr bwMode="auto">
                  <a:xfrm>
                    <a:off x="0" y="0"/>
                    <a:ext cx="8049785" cy="716113"/>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63225600">
    <w:abstractNumId w:val="8"/>
  </w:num>
  <w:num w:numId="2" w16cid:durableId="193230840">
    <w:abstractNumId w:val="6"/>
  </w:num>
  <w:num w:numId="3" w16cid:durableId="899900601">
    <w:abstractNumId w:val="5"/>
  </w:num>
  <w:num w:numId="4" w16cid:durableId="1937591525">
    <w:abstractNumId w:val="4"/>
  </w:num>
  <w:num w:numId="5" w16cid:durableId="742677066">
    <w:abstractNumId w:val="7"/>
  </w:num>
  <w:num w:numId="6" w16cid:durableId="1755737479">
    <w:abstractNumId w:val="3"/>
  </w:num>
  <w:num w:numId="7" w16cid:durableId="1607077897">
    <w:abstractNumId w:val="2"/>
  </w:num>
  <w:num w:numId="8" w16cid:durableId="182018665">
    <w:abstractNumId w:val="1"/>
  </w:num>
  <w:num w:numId="9" w16cid:durableId="1309043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C4527"/>
    <w:rsid w:val="00106358"/>
    <w:rsid w:val="0015074B"/>
    <w:rsid w:val="001B3C2E"/>
    <w:rsid w:val="001E499D"/>
    <w:rsid w:val="001F42B3"/>
    <w:rsid w:val="00211885"/>
    <w:rsid w:val="0029639D"/>
    <w:rsid w:val="00326F90"/>
    <w:rsid w:val="004229E7"/>
    <w:rsid w:val="005D192D"/>
    <w:rsid w:val="006F24FB"/>
    <w:rsid w:val="007B56D6"/>
    <w:rsid w:val="008552A9"/>
    <w:rsid w:val="00905C88"/>
    <w:rsid w:val="009464BC"/>
    <w:rsid w:val="00971018"/>
    <w:rsid w:val="00985296"/>
    <w:rsid w:val="00990854"/>
    <w:rsid w:val="00A04087"/>
    <w:rsid w:val="00A63C37"/>
    <w:rsid w:val="00A757CC"/>
    <w:rsid w:val="00AA1D8D"/>
    <w:rsid w:val="00B47730"/>
    <w:rsid w:val="00BE0C86"/>
    <w:rsid w:val="00C56C08"/>
    <w:rsid w:val="00CB0664"/>
    <w:rsid w:val="00D770CB"/>
    <w:rsid w:val="00DE3170"/>
    <w:rsid w:val="00E1631A"/>
    <w:rsid w:val="00E40B85"/>
    <w:rsid w:val="00E54F8A"/>
    <w:rsid w:val="00F0168A"/>
    <w:rsid w:val="00F47865"/>
    <w:rsid w:val="00FC693F"/>
    <w:rsid w:val="00FE1D15"/>
    <w:rsid w:val="00FF66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E99ACF3"/>
  <w14:defaultImageDpi w14:val="300"/>
  <w15:docId w15:val="{B9959248-ADF0-4B81-98B0-B6827056C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24FB"/>
    <w:rPr>
      <w:rFonts w:ascii="Segoe UI Light" w:eastAsia="Segoe UI Light" w:hAnsi="Segoe UI Light" w:cs="Segoe UI Light"/>
      <w:color w:val="2B2B2B"/>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950</Words>
  <Characters>5417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6355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Derek Kane</cp:lastModifiedBy>
  <cp:revision>2</cp:revision>
  <dcterms:created xsi:type="dcterms:W3CDTF">2026-06-02T15:56:00Z</dcterms:created>
  <dcterms:modified xsi:type="dcterms:W3CDTF">2026-06-02T15:56:00Z</dcterms:modified>
  <cp:category/>
</cp:coreProperties>
</file>